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>подготовила Заключение по результатам анализа исполнения бюджета Талдомского городского округа за 1</w:t>
      </w:r>
      <w:r w:rsidR="004F6E1E">
        <w:rPr>
          <w:rFonts w:ascii="Times New Roman" w:hAnsi="Times New Roman"/>
          <w:b/>
          <w:sz w:val="28"/>
          <w:szCs w:val="28"/>
        </w:rPr>
        <w:t xml:space="preserve"> квартал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8D4EFE">
        <w:rPr>
          <w:rFonts w:ascii="Times New Roman" w:hAnsi="Times New Roman"/>
          <w:b/>
          <w:sz w:val="28"/>
          <w:szCs w:val="28"/>
        </w:rPr>
        <w:t>3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1</w:t>
      </w:r>
      <w:r w:rsidR="004F6E1E">
        <w:rPr>
          <w:rFonts w:ascii="Times New Roman" w:hAnsi="Times New Roman"/>
          <w:sz w:val="28"/>
          <w:szCs w:val="28"/>
        </w:rPr>
        <w:t xml:space="preserve"> квартал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по результатам анализа исполнении бюджета Талдомского городского округа за 1 квартал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п.1.1 Плана работы Контрольно-счетной палаты Талдомского городского округа на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8D4EFE" w:rsidRPr="008D4EFE">
        <w:rPr>
          <w:rFonts w:ascii="Times New Roman" w:hAnsi="Times New Roman"/>
          <w:sz w:val="28"/>
          <w:szCs w:val="28"/>
        </w:rPr>
        <w:t>11.05.2023 г. №11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1.</w:t>
      </w:r>
      <w:r w:rsidRPr="004F6E1E">
        <w:rPr>
          <w:rFonts w:ascii="Times New Roman" w:hAnsi="Times New Roman"/>
          <w:sz w:val="28"/>
          <w:szCs w:val="28"/>
        </w:rPr>
        <w:tab/>
        <w:t>Бюджет Талдомского городского округа за 1 квартал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 исполнен:</w:t>
      </w:r>
    </w:p>
    <w:p w:rsidR="008D4EFE" w:rsidRPr="008D4EFE" w:rsidRDefault="004F6E1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•</w:t>
      </w:r>
      <w:r w:rsidRPr="004F6E1E">
        <w:rPr>
          <w:rFonts w:ascii="Times New Roman" w:hAnsi="Times New Roman"/>
          <w:sz w:val="28"/>
          <w:szCs w:val="28"/>
        </w:rPr>
        <w:tab/>
      </w:r>
      <w:r w:rsidR="008D4EFE" w:rsidRPr="008D4EFE">
        <w:rPr>
          <w:rFonts w:ascii="Times New Roman" w:hAnsi="Times New Roman"/>
          <w:sz w:val="28"/>
          <w:szCs w:val="28"/>
        </w:rPr>
        <w:t>по доходам в сумме 815463,7682 тыс. рублей или 19,3% от утвержденных годовых назначений;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lastRenderedPageBreak/>
        <w:t>•</w:t>
      </w:r>
      <w:r w:rsidRPr="008D4EFE">
        <w:rPr>
          <w:rFonts w:ascii="Times New Roman" w:hAnsi="Times New Roman"/>
          <w:sz w:val="28"/>
          <w:szCs w:val="28"/>
        </w:rPr>
        <w:tab/>
        <w:t>по расходам – 765467,56678 тыс. рублей или 17,3% от утвержденных годовых назначений;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•</w:t>
      </w:r>
      <w:r w:rsidRPr="008D4EFE">
        <w:rPr>
          <w:rFonts w:ascii="Times New Roman" w:hAnsi="Times New Roman"/>
          <w:sz w:val="28"/>
          <w:szCs w:val="28"/>
        </w:rPr>
        <w:tab/>
        <w:t>с профицитом в сумме 49996,20142 тыс. рублей.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2.</w:t>
      </w:r>
      <w:r w:rsidRPr="008D4EFE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1 квартал 2023 года составили 181560,69765 тыс. рублей или 13,3% от утвержденных годовых назначений.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3.</w:t>
      </w:r>
      <w:r w:rsidRPr="008D4EFE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1 квартал 2023 года составили 53549,74347 тыс. рублей или 54,5% от утвержденных годовых назначений.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4.</w:t>
      </w:r>
      <w:r w:rsidRPr="008D4EFE">
        <w:rPr>
          <w:rFonts w:ascii="Times New Roman" w:hAnsi="Times New Roman"/>
          <w:sz w:val="28"/>
          <w:szCs w:val="28"/>
        </w:rPr>
        <w:tab/>
        <w:t>Безвозмездные поступления за 1 квартал 2023 года составили 580353,32708 тыс. рублей или 21% от утвержденных годовых назначений.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5.</w:t>
      </w:r>
      <w:r w:rsidRPr="008D4EFE">
        <w:rPr>
          <w:rFonts w:ascii="Times New Roman" w:hAnsi="Times New Roman"/>
          <w:sz w:val="28"/>
          <w:szCs w:val="28"/>
        </w:rPr>
        <w:tab/>
        <w:t xml:space="preserve">За 1 квартал 2023 года расходы исполнены в объеме 765467,567 тыс. рублей, что составляет 17,3% от утвержденных назначений на 2023 год. 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Отмечается низкое выполнение по разделам «Жилищно-коммунальное хозяйство» – 8,3%, «Национальная экономика» – 9,2%.   За 1 квартал 2023 года не произведены расходы по разделу «Обслуживание муниципального долга».</w:t>
      </w:r>
    </w:p>
    <w:p w:rsidR="008D4EFE" w:rsidRPr="008D4EFE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>6.</w:t>
      </w:r>
      <w:r w:rsidRPr="008D4EFE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1 квартал 2023 года составило 756065,03926 тыс. рублей или 17,3% от утвержденных программных расходов на 202</w:t>
      </w:r>
      <w:r w:rsidR="0000309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8D4EFE">
        <w:rPr>
          <w:rFonts w:ascii="Times New Roman" w:hAnsi="Times New Roman"/>
          <w:sz w:val="28"/>
          <w:szCs w:val="28"/>
        </w:rPr>
        <w:t xml:space="preserve"> год.</w:t>
      </w:r>
    </w:p>
    <w:p w:rsidR="00353BD8" w:rsidRDefault="008D4EFE" w:rsidP="008D4EF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4EFE">
        <w:rPr>
          <w:rFonts w:ascii="Times New Roman" w:hAnsi="Times New Roman"/>
          <w:sz w:val="28"/>
          <w:szCs w:val="28"/>
        </w:rPr>
        <w:t xml:space="preserve"> Отмечается низкое исполнение по муниципальным программам «Архитектура и градостроительство» – 1,29%, «Развитие сельского хозяйства» – 3,21%, «Развитие и функционирование дорожно-транспортного комплекса» - 9,13%, «Социальная защита населения» – 11,95%, «Безопасность и обеспечение безопасности жизнедеятельности населения» – 13,10%. Расходы по муниципальным программам «Развитие инженерной инфраструктуры и энергоэффективности», «Предпринимательство», «Переселение граждан из аварийного жилищного фонда» в 1 квартале 2023 года не произведены.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>Талдомского городского округа Московской области за 1 квартал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4C" w:rsidRDefault="00F6204C">
      <w:pPr>
        <w:spacing w:after="0" w:line="240" w:lineRule="auto"/>
      </w:pPr>
      <w:r>
        <w:separator/>
      </w:r>
    </w:p>
  </w:endnote>
  <w:endnote w:type="continuationSeparator" w:id="0">
    <w:p w:rsidR="00F6204C" w:rsidRDefault="00F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F6204C">
    <w:pPr>
      <w:pStyle w:val="a6"/>
      <w:jc w:val="center"/>
    </w:pPr>
  </w:p>
  <w:p w:rsidR="000D63F9" w:rsidRDefault="00F62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4C" w:rsidRDefault="00F6204C">
      <w:pPr>
        <w:spacing w:after="0" w:line="240" w:lineRule="auto"/>
      </w:pPr>
      <w:r>
        <w:separator/>
      </w:r>
    </w:p>
  </w:footnote>
  <w:footnote w:type="continuationSeparator" w:id="0">
    <w:p w:rsidR="00F6204C" w:rsidRDefault="00F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F620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F6204C">
    <w:pPr>
      <w:pStyle w:val="a4"/>
      <w:jc w:val="center"/>
    </w:pPr>
  </w:p>
  <w:p w:rsidR="000D63F9" w:rsidRDefault="00F620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7281A"/>
    <w:rsid w:val="0019236E"/>
    <w:rsid w:val="001A7239"/>
    <w:rsid w:val="0024182C"/>
    <w:rsid w:val="00241B31"/>
    <w:rsid w:val="002767E5"/>
    <w:rsid w:val="002E5F83"/>
    <w:rsid w:val="00311864"/>
    <w:rsid w:val="00312601"/>
    <w:rsid w:val="00353BD8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A07B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2019-06-03T13:56:00Z</cp:lastPrinted>
  <dcterms:created xsi:type="dcterms:W3CDTF">2023-06-08T08:26:00Z</dcterms:created>
  <dcterms:modified xsi:type="dcterms:W3CDTF">2023-06-08T08:30:00Z</dcterms:modified>
</cp:coreProperties>
</file>